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D8" w:rsidRDefault="00DD1BD8" w:rsidP="00DD1BD8">
      <w:pPr>
        <w:rPr>
          <w:color w:val="1F497D"/>
        </w:rPr>
      </w:pPr>
      <w:r>
        <w:rPr>
          <w:color w:val="1F497D"/>
        </w:rPr>
        <w:t>Department’s responses to conjoint course questions</w:t>
      </w:r>
    </w:p>
    <w:p w:rsidR="00DD1BD8" w:rsidRDefault="00DD1BD8" w:rsidP="00DD1BD8">
      <w:pPr>
        <w:rPr>
          <w:color w:val="1F497D"/>
        </w:rPr>
      </w:pPr>
    </w:p>
    <w:p w:rsidR="00DD1BD8" w:rsidRDefault="00DD1BD8" w:rsidP="00DD1BD8">
      <w:pPr>
        <w:pStyle w:val="ListParagraph"/>
        <w:numPr>
          <w:ilvl w:val="0"/>
          <w:numId w:val="1"/>
        </w:numPr>
        <w:rPr>
          <w:color w:val="1F497D"/>
        </w:rPr>
      </w:pPr>
      <w:r>
        <w:rPr>
          <w:color w:val="1F497D"/>
        </w:rPr>
        <w:t>List the number of faculty in the degree granting area (</w:t>
      </w:r>
      <w:proofErr w:type="spellStart"/>
      <w:r>
        <w:rPr>
          <w:color w:val="1F497D"/>
        </w:rPr>
        <w:t>dept</w:t>
      </w:r>
      <w:proofErr w:type="spellEnd"/>
      <w:r>
        <w:rPr>
          <w:color w:val="1F497D"/>
        </w:rPr>
        <w:t>/program area?)  </w:t>
      </w:r>
    </w:p>
    <w:p w:rsidR="00DD1BD8" w:rsidRDefault="00DD1BD8" w:rsidP="00DD1BD8">
      <w:pPr>
        <w:pStyle w:val="ListParagraph"/>
        <w:ind w:firstLine="720"/>
        <w:rPr>
          <w:color w:val="1F497D"/>
        </w:rPr>
      </w:pPr>
      <w:r>
        <w:rPr>
          <w:color w:val="1F497D"/>
        </w:rPr>
        <w:t xml:space="preserve">We have 11 faculty members in the Chemical Engineering area </w:t>
      </w:r>
    </w:p>
    <w:p w:rsidR="00DD1BD8" w:rsidRDefault="00DD1BD8" w:rsidP="00DD1BD8">
      <w:pPr>
        <w:pStyle w:val="ListParagraph"/>
        <w:numPr>
          <w:ilvl w:val="0"/>
          <w:numId w:val="1"/>
        </w:numPr>
        <w:rPr>
          <w:color w:val="1F497D"/>
        </w:rPr>
      </w:pPr>
      <w:r>
        <w:rPr>
          <w:color w:val="1F497D"/>
        </w:rPr>
        <w:t>List the number of graduate courses listed on the books for the degree granting area (</w:t>
      </w:r>
      <w:proofErr w:type="spellStart"/>
      <w:r>
        <w:rPr>
          <w:color w:val="1F497D"/>
        </w:rPr>
        <w:t>dept</w:t>
      </w:r>
      <w:proofErr w:type="spellEnd"/>
      <w:r>
        <w:rPr>
          <w:color w:val="1F497D"/>
        </w:rPr>
        <w:t xml:space="preserve">/program area?) </w:t>
      </w:r>
    </w:p>
    <w:p w:rsidR="00DD1BD8" w:rsidRDefault="00DD1BD8" w:rsidP="00DD1BD8">
      <w:pPr>
        <w:pStyle w:val="Default"/>
        <w:ind w:left="720" w:firstLine="720"/>
        <w:rPr>
          <w:color w:val="1F497D"/>
          <w:sz w:val="22"/>
          <w:szCs w:val="22"/>
        </w:rPr>
      </w:pPr>
      <w:r>
        <w:rPr>
          <w:color w:val="1F497D"/>
          <w:sz w:val="22"/>
          <w:szCs w:val="22"/>
        </w:rPr>
        <w:t>Total – 15</w:t>
      </w:r>
    </w:p>
    <w:p w:rsidR="00DD1BD8" w:rsidRDefault="00DD1BD8" w:rsidP="00DD1BD8">
      <w:pPr>
        <w:pStyle w:val="Default"/>
        <w:ind w:left="1440" w:firstLine="720"/>
        <w:rPr>
          <w:color w:val="1F497D"/>
          <w:sz w:val="22"/>
          <w:szCs w:val="22"/>
        </w:rPr>
      </w:pPr>
      <w:r>
        <w:rPr>
          <w:color w:val="1F497D"/>
          <w:sz w:val="22"/>
          <w:szCs w:val="22"/>
        </w:rPr>
        <w:t>Thesis/Special Projects/Research – 3 (700, 702, 800)</w:t>
      </w:r>
    </w:p>
    <w:p w:rsidR="00DD1BD8" w:rsidRDefault="00DD1BD8" w:rsidP="00DD1BD8">
      <w:pPr>
        <w:pStyle w:val="Default"/>
        <w:ind w:left="1440" w:firstLine="720"/>
        <w:rPr>
          <w:color w:val="1F497D"/>
          <w:sz w:val="22"/>
          <w:szCs w:val="22"/>
        </w:rPr>
      </w:pPr>
      <w:r>
        <w:rPr>
          <w:color w:val="1F497D"/>
          <w:sz w:val="22"/>
          <w:szCs w:val="22"/>
        </w:rPr>
        <w:t>Required Courses – 7 (510, 541, 560 or 529</w:t>
      </w:r>
      <w:proofErr w:type="gramStart"/>
      <w:r>
        <w:rPr>
          <w:color w:val="1F497D"/>
          <w:sz w:val="22"/>
          <w:szCs w:val="22"/>
        </w:rPr>
        <w:t>,  596</w:t>
      </w:r>
      <w:proofErr w:type="gramEnd"/>
      <w:r>
        <w:rPr>
          <w:color w:val="1F497D"/>
          <w:sz w:val="22"/>
          <w:szCs w:val="22"/>
        </w:rPr>
        <w:t>, 597, 598)</w:t>
      </w:r>
    </w:p>
    <w:p w:rsidR="00DD1BD8" w:rsidRDefault="00DD1BD8" w:rsidP="00DD1BD8">
      <w:pPr>
        <w:pStyle w:val="Default"/>
        <w:ind w:left="2160"/>
        <w:rPr>
          <w:color w:val="1F497D"/>
          <w:sz w:val="22"/>
          <w:szCs w:val="22"/>
        </w:rPr>
      </w:pPr>
      <w:r>
        <w:rPr>
          <w:color w:val="1F497D"/>
          <w:sz w:val="22"/>
          <w:szCs w:val="22"/>
        </w:rPr>
        <w:t xml:space="preserve">Electives/Not required – 5 (527, 549, 574, 581, </w:t>
      </w:r>
      <w:proofErr w:type="gramStart"/>
      <w:r>
        <w:rPr>
          <w:color w:val="1F497D"/>
          <w:sz w:val="22"/>
          <w:szCs w:val="22"/>
        </w:rPr>
        <w:t>585</w:t>
      </w:r>
      <w:proofErr w:type="gramEnd"/>
      <w:r>
        <w:rPr>
          <w:color w:val="1F497D"/>
          <w:sz w:val="22"/>
          <w:szCs w:val="22"/>
        </w:rPr>
        <w:t>).</w:t>
      </w:r>
      <w:r>
        <w:rPr>
          <w:b/>
          <w:bCs/>
          <w:i/>
          <w:iCs/>
          <w:color w:val="1F497D"/>
          <w:sz w:val="22"/>
          <w:szCs w:val="22"/>
        </w:rPr>
        <w:t xml:space="preserve"> </w:t>
      </w:r>
      <w:r>
        <w:rPr>
          <w:color w:val="1F497D"/>
          <w:sz w:val="22"/>
          <w:szCs w:val="22"/>
        </w:rPr>
        <w:t>Note that 574 is associated with the NIH Protein Biotechnology Training program, and 549 is a laboratory-based course taught at WSU/TC.</w:t>
      </w:r>
    </w:p>
    <w:p w:rsidR="00DD1BD8" w:rsidRDefault="00DD1BD8" w:rsidP="00DD1BD8">
      <w:pPr>
        <w:pStyle w:val="ListParagraph"/>
        <w:numPr>
          <w:ilvl w:val="0"/>
          <w:numId w:val="1"/>
        </w:numPr>
        <w:rPr>
          <w:color w:val="1F497D"/>
        </w:rPr>
      </w:pPr>
      <w:r>
        <w:rPr>
          <w:color w:val="1F497D"/>
        </w:rPr>
        <w:t>How many courses are currently listed as conjoint in the degree granting area (</w:t>
      </w:r>
      <w:proofErr w:type="spellStart"/>
      <w:r>
        <w:rPr>
          <w:color w:val="1F497D"/>
        </w:rPr>
        <w:t>dept</w:t>
      </w:r>
      <w:proofErr w:type="spellEnd"/>
      <w:r>
        <w:rPr>
          <w:color w:val="1F497D"/>
        </w:rPr>
        <w:t xml:space="preserve">/program area?) </w:t>
      </w:r>
      <w:bookmarkStart w:id="0" w:name="_GoBack"/>
      <w:bookmarkEnd w:id="0"/>
    </w:p>
    <w:p w:rsidR="00DD1BD8" w:rsidRDefault="00DD1BD8" w:rsidP="00DD1BD8">
      <w:pPr>
        <w:pStyle w:val="Default"/>
        <w:spacing w:after="23"/>
        <w:ind w:left="720" w:firstLine="720"/>
        <w:rPr>
          <w:color w:val="1F497D"/>
          <w:sz w:val="22"/>
          <w:szCs w:val="22"/>
        </w:rPr>
      </w:pPr>
      <w:r>
        <w:rPr>
          <w:color w:val="1F497D"/>
          <w:sz w:val="22"/>
          <w:szCs w:val="22"/>
        </w:rPr>
        <w:t>Conjoint</w:t>
      </w:r>
      <w:proofErr w:type="gramStart"/>
      <w:r>
        <w:rPr>
          <w:color w:val="1F497D"/>
          <w:sz w:val="22"/>
          <w:szCs w:val="22"/>
        </w:rPr>
        <w:t>  -</w:t>
      </w:r>
      <w:proofErr w:type="gramEnd"/>
      <w:r>
        <w:rPr>
          <w:color w:val="1F497D"/>
          <w:sz w:val="22"/>
          <w:szCs w:val="22"/>
        </w:rPr>
        <w:t xml:space="preserve"> Occasionally, 481/581 are taught in a conjoint fashion</w:t>
      </w:r>
    </w:p>
    <w:p w:rsidR="00DD1BD8" w:rsidRDefault="00DD1BD8" w:rsidP="00DD1BD8">
      <w:pPr>
        <w:pStyle w:val="ListParagraph"/>
        <w:numPr>
          <w:ilvl w:val="0"/>
          <w:numId w:val="1"/>
        </w:numPr>
        <w:rPr>
          <w:color w:val="1F497D"/>
        </w:rPr>
      </w:pPr>
      <w:r>
        <w:rPr>
          <w:color w:val="1F497D"/>
        </w:rPr>
        <w:t xml:space="preserve">How often are these conjoint courses taught? </w:t>
      </w:r>
    </w:p>
    <w:p w:rsidR="00DD1BD8" w:rsidRDefault="00DD1BD8" w:rsidP="00DD1BD8">
      <w:pPr>
        <w:pStyle w:val="ListParagraph"/>
        <w:ind w:left="1440"/>
        <w:rPr>
          <w:color w:val="1F497D"/>
        </w:rPr>
      </w:pPr>
      <w:r>
        <w:rPr>
          <w:color w:val="1F497D"/>
        </w:rPr>
        <w:t>Depending on the topic, 481 and 581 may be taught in a conjoint fashion. This situation happens on a periodic, asynchronous basis.</w:t>
      </w:r>
    </w:p>
    <w:p w:rsidR="00DD1BD8" w:rsidRDefault="00DD1BD8" w:rsidP="00DD1BD8">
      <w:pPr>
        <w:pStyle w:val="ListParagraph"/>
        <w:numPr>
          <w:ilvl w:val="0"/>
          <w:numId w:val="1"/>
        </w:numPr>
        <w:rPr>
          <w:color w:val="1F497D"/>
        </w:rPr>
      </w:pPr>
      <w:r>
        <w:rPr>
          <w:color w:val="1F497D"/>
        </w:rPr>
        <w:t>How many of these courses are designed as graduate courses with a few undergrads enrolled? (</w:t>
      </w:r>
      <w:proofErr w:type="gramStart"/>
      <w:r>
        <w:rPr>
          <w:color w:val="1F497D"/>
        </w:rPr>
        <w:t>versus</w:t>
      </w:r>
      <w:proofErr w:type="gramEnd"/>
      <w:r>
        <w:rPr>
          <w:color w:val="1F497D"/>
        </w:rPr>
        <w:t xml:space="preserve"> designed as undergraduate with a few graduate students). </w:t>
      </w:r>
    </w:p>
    <w:p w:rsidR="00DD1BD8" w:rsidRDefault="00DD1BD8" w:rsidP="00DD1BD8">
      <w:pPr>
        <w:pStyle w:val="Default"/>
        <w:spacing w:after="23"/>
        <w:ind w:left="720" w:firstLine="720"/>
        <w:rPr>
          <w:color w:val="auto"/>
          <w:sz w:val="22"/>
          <w:szCs w:val="22"/>
        </w:rPr>
      </w:pPr>
      <w:r>
        <w:rPr>
          <w:color w:val="1F497D"/>
          <w:sz w:val="22"/>
          <w:szCs w:val="22"/>
        </w:rPr>
        <w:t>Typically, more undergraduates enroll in these special topics course simply because of the number of students requiring courses.</w:t>
      </w:r>
    </w:p>
    <w:p w:rsidR="00DD1BD8" w:rsidRDefault="00DD1BD8" w:rsidP="00DD1BD8">
      <w:pPr>
        <w:pStyle w:val="ListParagraph"/>
        <w:numPr>
          <w:ilvl w:val="0"/>
          <w:numId w:val="1"/>
        </w:numPr>
        <w:rPr>
          <w:color w:val="1F497D"/>
        </w:rPr>
      </w:pPr>
      <w:r>
        <w:rPr>
          <w:color w:val="1F497D"/>
        </w:rPr>
        <w:t>Over the past 3 years, what percentage of courses on Graduate degree programs of study in this degree granting area (</w:t>
      </w:r>
      <w:proofErr w:type="spellStart"/>
      <w:r>
        <w:rPr>
          <w:color w:val="1F497D"/>
        </w:rPr>
        <w:t>dept</w:t>
      </w:r>
      <w:proofErr w:type="spellEnd"/>
      <w:r>
        <w:rPr>
          <w:color w:val="1F497D"/>
        </w:rPr>
        <w:t xml:space="preserve">/program area?) are conjoint courses? </w:t>
      </w:r>
    </w:p>
    <w:p w:rsidR="00DD1BD8" w:rsidRDefault="00DD1BD8" w:rsidP="00DD1BD8">
      <w:pPr>
        <w:ind w:left="720" w:firstLine="720"/>
        <w:rPr>
          <w:color w:val="1F497D"/>
        </w:rPr>
      </w:pPr>
      <w:r>
        <w:rPr>
          <w:color w:val="1F497D"/>
        </w:rPr>
        <w:t>Typically about 10%</w:t>
      </w:r>
    </w:p>
    <w:p w:rsidR="00DD1BD8" w:rsidRDefault="00DD1BD8" w:rsidP="00DD1BD8">
      <w:pPr>
        <w:pStyle w:val="ListParagraph"/>
        <w:numPr>
          <w:ilvl w:val="0"/>
          <w:numId w:val="1"/>
        </w:numPr>
        <w:rPr>
          <w:color w:val="1F497D"/>
        </w:rPr>
      </w:pPr>
      <w:r>
        <w:rPr>
          <w:color w:val="1F497D"/>
        </w:rPr>
        <w:t>Why is this particular course integral to the graduate program in this degree granting area (</w:t>
      </w:r>
      <w:proofErr w:type="spellStart"/>
      <w:r>
        <w:rPr>
          <w:color w:val="1F497D"/>
        </w:rPr>
        <w:t>dept</w:t>
      </w:r>
      <w:proofErr w:type="spellEnd"/>
      <w:r>
        <w:rPr>
          <w:color w:val="1F497D"/>
        </w:rPr>
        <w:t xml:space="preserve">/program area?) </w:t>
      </w:r>
    </w:p>
    <w:p w:rsidR="00DD1BD8" w:rsidRDefault="00DD1BD8" w:rsidP="00DD1BD8">
      <w:pPr>
        <w:pStyle w:val="Default"/>
        <w:spacing w:after="23"/>
        <w:ind w:left="1440"/>
        <w:rPr>
          <w:rFonts w:ascii="Calibri" w:hAnsi="Calibri"/>
          <w:color w:val="1F497D"/>
        </w:rPr>
      </w:pPr>
      <w:r>
        <w:rPr>
          <w:rFonts w:ascii="Calibri" w:hAnsi="Calibri"/>
          <w:color w:val="1F497D"/>
          <w:sz w:val="22"/>
          <w:szCs w:val="22"/>
        </w:rPr>
        <w:t>This course covers a wide breath of topics that are integral to many of the research initiatives in the School ranging from materials, to catalysis, to colloids, to methods of characterization, etc</w:t>
      </w:r>
      <w:proofErr w:type="gramStart"/>
      <w:r>
        <w:rPr>
          <w:rFonts w:ascii="Calibri" w:hAnsi="Calibri"/>
          <w:color w:val="1F497D"/>
          <w:sz w:val="22"/>
          <w:szCs w:val="22"/>
        </w:rPr>
        <w:t>..</w:t>
      </w:r>
      <w:proofErr w:type="gramEnd"/>
      <w:r>
        <w:rPr>
          <w:rFonts w:ascii="Calibri" w:hAnsi="Calibri"/>
          <w:color w:val="1F497D"/>
          <w:sz w:val="22"/>
          <w:szCs w:val="22"/>
        </w:rPr>
        <w:t xml:space="preserve">  This course provides a fundamental physical and thermodynamic understanding of many of the phenomena that are seen in Chemical Engineering.  This course provides the opportunity for our undergraduates to gain experience with concepts and techniques that are vital to many of the industries that hire from our Department.  </w:t>
      </w:r>
    </w:p>
    <w:p w:rsidR="00DD1BD8" w:rsidRDefault="00DD1BD8" w:rsidP="00DD1BD8">
      <w:pPr>
        <w:pStyle w:val="ListParagraph"/>
        <w:numPr>
          <w:ilvl w:val="0"/>
          <w:numId w:val="1"/>
        </w:numPr>
        <w:rPr>
          <w:color w:val="1F497D"/>
        </w:rPr>
      </w:pPr>
      <w:r>
        <w:rPr>
          <w:color w:val="1F497D"/>
        </w:rPr>
        <w:t xml:space="preserve">How many overall students are in the degree area? </w:t>
      </w:r>
    </w:p>
    <w:p w:rsidR="00DD1BD8" w:rsidRDefault="00DD1BD8" w:rsidP="00DD1BD8">
      <w:pPr>
        <w:pStyle w:val="Default"/>
        <w:spacing w:after="23"/>
        <w:ind w:left="720" w:firstLine="720"/>
        <w:rPr>
          <w:color w:val="auto"/>
          <w:sz w:val="22"/>
          <w:szCs w:val="22"/>
        </w:rPr>
      </w:pPr>
      <w:r>
        <w:rPr>
          <w:color w:val="1F497D"/>
          <w:sz w:val="22"/>
          <w:szCs w:val="22"/>
        </w:rPr>
        <w:t>500 undergraduates, 70 graduate students</w:t>
      </w:r>
    </w:p>
    <w:p w:rsidR="00DD1BD8" w:rsidRDefault="00DD1BD8" w:rsidP="00DD1BD8">
      <w:pPr>
        <w:pStyle w:val="ListParagraph"/>
        <w:numPr>
          <w:ilvl w:val="0"/>
          <w:numId w:val="1"/>
        </w:numPr>
        <w:rPr>
          <w:color w:val="1F497D"/>
        </w:rPr>
      </w:pPr>
      <w:r>
        <w:rPr>
          <w:color w:val="1F497D"/>
        </w:rPr>
        <w:t>Are there any department policies about the number of conjoint courses on a program of study?</w:t>
      </w:r>
    </w:p>
    <w:p w:rsidR="00DD1BD8" w:rsidRDefault="00DD1BD8" w:rsidP="00DD1BD8">
      <w:pPr>
        <w:ind w:left="720" w:firstLine="720"/>
        <w:rPr>
          <w:color w:val="1F497D"/>
        </w:rPr>
      </w:pPr>
      <w:r>
        <w:rPr>
          <w:color w:val="1F497D"/>
        </w:rPr>
        <w:t>No.</w:t>
      </w:r>
    </w:p>
    <w:p w:rsidR="00DD1BD8" w:rsidRDefault="00DD1BD8" w:rsidP="00DD1BD8">
      <w:pPr>
        <w:rPr>
          <w:color w:val="1F497D"/>
        </w:rPr>
      </w:pPr>
    </w:p>
    <w:p w:rsidR="00381A76" w:rsidRPr="00DD1BD8" w:rsidRDefault="00381A76" w:rsidP="00DD1BD8"/>
    <w:sectPr w:rsidR="00381A76" w:rsidRPr="00DD1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05A8D"/>
    <w:multiLevelType w:val="hybridMultilevel"/>
    <w:tmpl w:val="59D0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D8"/>
    <w:rsid w:val="00381A76"/>
    <w:rsid w:val="00DD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2EDA4-1C36-4AE5-BE9B-8A45D06B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B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D8"/>
    <w:pPr>
      <w:ind w:left="720"/>
    </w:pPr>
  </w:style>
  <w:style w:type="paragraph" w:customStyle="1" w:styleId="Default">
    <w:name w:val="Default"/>
    <w:basedOn w:val="Normal"/>
    <w:rsid w:val="00DD1BD8"/>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Rarig, Anastasia Jensein</dc:creator>
  <cp:keywords/>
  <dc:description/>
  <cp:lastModifiedBy>Rarig, Anastasia Jensein</cp:lastModifiedBy>
  <cp:revision>1</cp:revision>
  <dcterms:created xsi:type="dcterms:W3CDTF">2014-12-23T22:01:00Z</dcterms:created>
  <dcterms:modified xsi:type="dcterms:W3CDTF">2014-12-23T22:06:00Z</dcterms:modified>
</cp:coreProperties>
</file>